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05A197D0"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2009D3">
        <w:rPr>
          <w:rFonts w:asciiTheme="minorHAnsi" w:hAnsiTheme="minorHAnsi" w:cstheme="minorHAnsi"/>
          <w:sz w:val="22"/>
          <w:szCs w:val="22"/>
        </w:rPr>
        <w:t>Ju</w:t>
      </w:r>
      <w:r w:rsidR="00A873BF">
        <w:rPr>
          <w:rFonts w:asciiTheme="minorHAnsi" w:hAnsiTheme="minorHAnsi" w:cstheme="minorHAnsi"/>
          <w:sz w:val="22"/>
          <w:szCs w:val="22"/>
        </w:rPr>
        <w:t>ly 13</w:t>
      </w:r>
      <w:r w:rsidR="00A81684" w:rsidRPr="000B7A7C">
        <w:rPr>
          <w:rFonts w:asciiTheme="minorHAnsi" w:hAnsiTheme="minorHAnsi" w:cstheme="minorHAnsi"/>
          <w:sz w:val="22"/>
          <w:szCs w:val="22"/>
        </w:rPr>
        <w:t xml:space="preserve"> 2022</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3809550B" w:rsidR="00032E7A" w:rsidRPr="000B7A7C" w:rsidRDefault="00E13BC7" w:rsidP="000B7A7C">
      <w:pPr>
        <w:pStyle w:val="BodyText"/>
        <w:spacing w:after="0"/>
      </w:pPr>
      <w:r w:rsidRPr="000B7A7C">
        <w:t>Here is the News and Resource bundle for this week.</w:t>
      </w:r>
      <w:r w:rsidR="00032E7A" w:rsidRPr="000B7A7C">
        <w:t xml:space="preserve"> </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F373AF"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486321A6" w14:textId="180F9164" w:rsidR="00BF2504" w:rsidRDefault="00E13BC7" w:rsidP="00BF2504">
      <w:pPr>
        <w:pStyle w:val="dateline"/>
        <w:spacing w:line="480" w:lineRule="auto"/>
        <w:rPr>
          <w:rFonts w:cstheme="minorHAnsi"/>
          <w:bCs/>
          <w:lang w:val="en-CA"/>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BF2504" w:rsidRPr="00BF2504">
        <w:rPr>
          <w:rFonts w:cstheme="minorHAnsi"/>
          <w:bCs/>
          <w:lang w:val="en-CA"/>
        </w:rPr>
        <w:t xml:space="preserve"> Mental health: Is that a job for schools?</w:t>
      </w:r>
    </w:p>
    <w:p w14:paraId="7CC450AF" w14:textId="7A9AC6AD" w:rsidR="00BF2504" w:rsidRPr="00BF2504" w:rsidRDefault="008A2A47" w:rsidP="00BF2504">
      <w:pPr>
        <w:pStyle w:val="dateline"/>
        <w:spacing w:line="480" w:lineRule="auto"/>
        <w:rPr>
          <w:rFonts w:cstheme="minorHAnsi"/>
          <w:bCs/>
          <w:lang w:val="en-CA"/>
        </w:rPr>
      </w:pPr>
      <w:r>
        <w:rPr>
          <w:rFonts w:cstheme="minorHAnsi"/>
          <w:bCs/>
          <w:lang w:val="en-CA"/>
        </w:rPr>
        <w:t xml:space="preserve">Reports of declining mental health and well-being in students because of the pandemic, in addition to </w:t>
      </w:r>
      <w:r w:rsidR="00575057">
        <w:rPr>
          <w:rFonts w:cstheme="minorHAnsi"/>
          <w:bCs/>
          <w:lang w:val="en-CA"/>
        </w:rPr>
        <w:t>many</w:t>
      </w:r>
      <w:r>
        <w:rPr>
          <w:rFonts w:cstheme="minorHAnsi"/>
          <w:bCs/>
          <w:lang w:val="en-CA"/>
        </w:rPr>
        <w:t xml:space="preserve"> other concerns, </w:t>
      </w:r>
      <w:r w:rsidR="00575057">
        <w:rPr>
          <w:rFonts w:cstheme="minorHAnsi"/>
          <w:bCs/>
          <w:lang w:val="en-CA"/>
        </w:rPr>
        <w:t>are</w:t>
      </w:r>
      <w:r>
        <w:rPr>
          <w:rFonts w:cstheme="minorHAnsi"/>
          <w:bCs/>
          <w:lang w:val="en-CA"/>
        </w:rPr>
        <w:t xml:space="preserve"> raising questions on how best to support children and youth – and where best to support them. </w:t>
      </w:r>
      <w:r w:rsidRPr="008A2A47">
        <w:rPr>
          <w:rFonts w:cstheme="minorHAnsi"/>
          <w:bCs/>
          <w:lang w:val="en-CA"/>
        </w:rPr>
        <w:t xml:space="preserve">“You do at some point have to ask some very basic questions about what are the expectations that we have of this thing called school,” says Robert Pondiscio, a senior fellow focused on education at the </w:t>
      </w:r>
      <w:hyperlink r:id="rId5" w:history="1">
        <w:r w:rsidRPr="008A2A47">
          <w:rPr>
            <w:rStyle w:val="Hyperlink"/>
            <w:rFonts w:cstheme="minorHAnsi"/>
            <w:bCs/>
            <w:lang w:val="en-CA"/>
          </w:rPr>
          <w:t>American Enterprise Institute</w:t>
        </w:r>
      </w:hyperlink>
      <w:r w:rsidRPr="008A2A47">
        <w:rPr>
          <w:rFonts w:cstheme="minorHAnsi"/>
          <w:bCs/>
          <w:lang w:val="en-CA"/>
        </w:rPr>
        <w:t>, a Washington think tank. “No one is suggesting schools should not be concerned about kids’ overall well-being. But is this the proper place in civil society for mental health services to reside?”</w:t>
      </w:r>
      <w:r>
        <w:rPr>
          <w:rFonts w:cstheme="minorHAnsi"/>
          <w:bCs/>
          <w:lang w:val="en-CA"/>
        </w:rPr>
        <w:t xml:space="preserve"> Among the arguments in favour of school as the setting for mental health</w:t>
      </w:r>
      <w:r w:rsidR="00575057">
        <w:rPr>
          <w:rFonts w:cstheme="minorHAnsi"/>
          <w:bCs/>
          <w:lang w:val="en-CA"/>
        </w:rPr>
        <w:t>: students and their families are more comfortable with school supports, and research supports the benefits for students. Among the arguments against: asking teachers</w:t>
      </w:r>
      <w:r w:rsidR="005606B3">
        <w:rPr>
          <w:rFonts w:cstheme="minorHAnsi"/>
          <w:bCs/>
          <w:lang w:val="en-CA"/>
        </w:rPr>
        <w:t xml:space="preserve"> and administrators</w:t>
      </w:r>
      <w:r w:rsidR="00575057">
        <w:rPr>
          <w:rFonts w:cstheme="minorHAnsi"/>
          <w:bCs/>
          <w:lang w:val="en-CA"/>
        </w:rPr>
        <w:t xml:space="preserve"> to take on additional roles to provide screening or supports</w:t>
      </w:r>
      <w:r w:rsidR="005606B3">
        <w:rPr>
          <w:rFonts w:cstheme="minorHAnsi"/>
          <w:bCs/>
          <w:lang w:val="en-CA"/>
        </w:rPr>
        <w:t xml:space="preserve"> carries concerns on ethical, competence, and workload levels. </w:t>
      </w:r>
      <w:r w:rsidR="005606B3" w:rsidRPr="005606B3">
        <w:rPr>
          <w:rFonts w:cstheme="minorHAnsi"/>
          <w:bCs/>
          <w:lang w:val="en-CA"/>
        </w:rPr>
        <w:t xml:space="preserve">“I think there are legitimate reasons to be concerned about mission creep, that we are changing the job of the teacher to be as focused on children’s mental health and well-being as the academics. It’s one thing to have it baked into the pie and another thing to make it a deliverable and a piece of the curriculum as compared to an endemic part of school culture,” </w:t>
      </w:r>
      <w:r w:rsidR="005606B3">
        <w:rPr>
          <w:rFonts w:cstheme="minorHAnsi"/>
          <w:bCs/>
          <w:lang w:val="en-CA"/>
        </w:rPr>
        <w:t>noted Mr.</w:t>
      </w:r>
      <w:r w:rsidR="003B7A6C">
        <w:rPr>
          <w:rFonts w:cstheme="minorHAnsi"/>
          <w:bCs/>
          <w:lang w:val="en-CA"/>
        </w:rPr>
        <w:t xml:space="preserve"> Pondiscio.</w:t>
      </w:r>
    </w:p>
    <w:p w14:paraId="1E0EC11D" w14:textId="77777777" w:rsidR="00BF2504" w:rsidRPr="00BF2504" w:rsidRDefault="00F373AF" w:rsidP="00BF2504">
      <w:pPr>
        <w:pStyle w:val="dateline"/>
        <w:spacing w:line="480" w:lineRule="auto"/>
        <w:rPr>
          <w:rFonts w:cstheme="minorHAnsi"/>
          <w:bCs/>
        </w:rPr>
      </w:pPr>
      <w:hyperlink r:id="rId6" w:history="1">
        <w:r w:rsidR="00BF2504" w:rsidRPr="00BF2504">
          <w:rPr>
            <w:rStyle w:val="Hyperlink"/>
            <w:rFonts w:cstheme="minorHAnsi"/>
            <w:bCs/>
          </w:rPr>
          <w:t>Mental health support for students: Is that a job for schools? - CSMonitor.com</w:t>
        </w:r>
      </w:hyperlink>
    </w:p>
    <w:p w14:paraId="637AD86E" w14:textId="25EF492B" w:rsidR="004811C7" w:rsidRDefault="00901C1F" w:rsidP="004811C7">
      <w:pPr>
        <w:pStyle w:val="dateline"/>
        <w:spacing w:line="480" w:lineRule="auto"/>
        <w:rPr>
          <w:rFonts w:cstheme="minorHAnsi"/>
          <w:bCs/>
          <w:lang w:val="en-CA"/>
        </w:rPr>
      </w:pPr>
      <w:r w:rsidRPr="00C5331D">
        <w:rPr>
          <w:rFonts w:cstheme="minorHAnsi"/>
          <w:bCs/>
        </w:rPr>
        <w:t xml:space="preserve">2. </w:t>
      </w:r>
      <w:r w:rsidR="004811C7" w:rsidRPr="004811C7">
        <w:rPr>
          <w:rFonts w:cstheme="minorHAnsi"/>
          <w:bCs/>
          <w:lang w:val="en-CA"/>
        </w:rPr>
        <w:t xml:space="preserve">How </w:t>
      </w:r>
      <w:r w:rsidR="004811C7">
        <w:rPr>
          <w:rFonts w:cstheme="minorHAnsi"/>
          <w:bCs/>
          <w:lang w:val="en-CA"/>
        </w:rPr>
        <w:t>adversity</w:t>
      </w:r>
      <w:r w:rsidR="004811C7" w:rsidRPr="004811C7">
        <w:rPr>
          <w:rFonts w:cstheme="minorHAnsi"/>
          <w:bCs/>
          <w:lang w:val="en-CA"/>
        </w:rPr>
        <w:t xml:space="preserve"> impacts the disproportionate suspensions of Black and Indigenous students</w:t>
      </w:r>
    </w:p>
    <w:p w14:paraId="08BDF462" w14:textId="2CB190CF" w:rsidR="001C7A7F" w:rsidRDefault="000A1893" w:rsidP="001C7A7F">
      <w:pPr>
        <w:pStyle w:val="dateline"/>
        <w:spacing w:line="480" w:lineRule="auto"/>
        <w:rPr>
          <w:rFonts w:cstheme="minorHAnsi"/>
          <w:bCs/>
          <w:lang w:val="en-CA"/>
        </w:rPr>
      </w:pPr>
      <w:r>
        <w:rPr>
          <w:rFonts w:cstheme="minorHAnsi"/>
          <w:bCs/>
          <w:lang w:val="en-CA"/>
        </w:rPr>
        <w:lastRenderedPageBreak/>
        <w:t xml:space="preserve">In this article, former Toronto and Vancouver social worker and social work professor </w:t>
      </w:r>
      <w:hyperlink r:id="rId7" w:history="1">
        <w:r w:rsidRPr="001C7A7F">
          <w:rPr>
            <w:rStyle w:val="Hyperlink"/>
            <w:rFonts w:cstheme="minorHAnsi"/>
            <w:bCs/>
            <w:lang w:val="en-CA"/>
          </w:rPr>
          <w:t>Jane Sanders</w:t>
        </w:r>
      </w:hyperlink>
      <w:r>
        <w:rPr>
          <w:rFonts w:cstheme="minorHAnsi"/>
          <w:bCs/>
          <w:lang w:val="en-CA"/>
        </w:rPr>
        <w:t xml:space="preserve"> calls for schools to recognize the impact of systemic racism and community violence on the experiences of students and, thus, their educational outcomes. “</w:t>
      </w:r>
      <w:r w:rsidRPr="000A1893">
        <w:rPr>
          <w:rFonts w:cstheme="minorHAnsi"/>
          <w:bCs/>
          <w:lang w:val="en-CA"/>
        </w:rPr>
        <w:t>Researchers, community members, teachers and practitioners are calling to </w:t>
      </w:r>
      <w:hyperlink r:id="rId8" w:history="1">
        <w:r w:rsidRPr="000A1893">
          <w:rPr>
            <w:rStyle w:val="Hyperlink"/>
            <w:rFonts w:cstheme="minorHAnsi"/>
            <w:bCs/>
            <w:lang w:val="en-CA"/>
          </w:rPr>
          <w:t>expand</w:t>
        </w:r>
      </w:hyperlink>
      <w:r w:rsidRPr="000A1893">
        <w:rPr>
          <w:rFonts w:cstheme="minorHAnsi"/>
          <w:bCs/>
          <w:lang w:val="en-CA"/>
        </w:rPr>
        <w:t> the </w:t>
      </w:r>
      <w:hyperlink r:id="rId9" w:history="1">
        <w:r w:rsidRPr="000A1893">
          <w:rPr>
            <w:rStyle w:val="Hyperlink"/>
            <w:rFonts w:cstheme="minorHAnsi"/>
            <w:bCs/>
            <w:lang w:val="en-CA"/>
          </w:rPr>
          <w:t xml:space="preserve">definition </w:t>
        </w:r>
      </w:hyperlink>
      <w:r w:rsidRPr="000A1893">
        <w:rPr>
          <w:rFonts w:cstheme="minorHAnsi"/>
          <w:bCs/>
          <w:lang w:val="en-CA"/>
        </w:rPr>
        <w:t>of </w:t>
      </w:r>
      <w:hyperlink r:id="rId10" w:history="1">
        <w:r w:rsidRPr="000A1893">
          <w:rPr>
            <w:rStyle w:val="Hyperlink"/>
            <w:rFonts w:cstheme="minorHAnsi"/>
            <w:bCs/>
            <w:lang w:val="en-CA"/>
          </w:rPr>
          <w:t>adversities</w:t>
        </w:r>
      </w:hyperlink>
      <w:r w:rsidRPr="000A1893">
        <w:rPr>
          <w:rFonts w:cstheme="minorHAnsi"/>
          <w:bCs/>
          <w:lang w:val="en-CA"/>
        </w:rPr>
        <w:t> to include those that occur outside the home and disproportionately impact marginalized students.</w:t>
      </w:r>
      <w:r>
        <w:rPr>
          <w:rFonts w:cstheme="minorHAnsi"/>
          <w:bCs/>
          <w:lang w:val="en-CA"/>
        </w:rPr>
        <w:t xml:space="preserve">” She identifies a number of adversities that were not reflected in the ground-breaking 1998 Felitti and Anda </w:t>
      </w:r>
      <w:hyperlink r:id="rId11" w:history="1">
        <w:r w:rsidRPr="000A1893">
          <w:rPr>
            <w:rStyle w:val="Hyperlink"/>
            <w:rFonts w:cstheme="minorHAnsi"/>
            <w:bCs/>
            <w:lang w:val="en-CA"/>
          </w:rPr>
          <w:t>study</w:t>
        </w:r>
      </w:hyperlink>
      <w:r>
        <w:rPr>
          <w:rFonts w:cstheme="minorHAnsi"/>
          <w:bCs/>
          <w:lang w:val="en-CA"/>
        </w:rPr>
        <w:t xml:space="preserve">: </w:t>
      </w:r>
    </w:p>
    <w:p w14:paraId="5AACF88A" w14:textId="3464592D" w:rsidR="001C7A7F" w:rsidRPr="001C7A7F" w:rsidRDefault="001C7A7F" w:rsidP="001C7A7F">
      <w:pPr>
        <w:pStyle w:val="dateline"/>
        <w:spacing w:line="480" w:lineRule="auto"/>
        <w:rPr>
          <w:rFonts w:cstheme="minorHAnsi"/>
          <w:bCs/>
        </w:rPr>
      </w:pPr>
      <w:r w:rsidRPr="001C7A7F">
        <w:rPr>
          <w:rFonts w:cstheme="minorHAnsi"/>
          <w:bCs/>
        </w:rPr>
        <w:t>  peer victimization, isolation and rejection;</w:t>
      </w:r>
    </w:p>
    <w:p w14:paraId="38C7A4B1" w14:textId="77777777" w:rsidR="001C7A7F" w:rsidRPr="001C7A7F" w:rsidRDefault="001C7A7F" w:rsidP="001C7A7F">
      <w:pPr>
        <w:pStyle w:val="dateline"/>
        <w:spacing w:line="480" w:lineRule="auto"/>
        <w:rPr>
          <w:rFonts w:cstheme="minorHAnsi"/>
          <w:bCs/>
        </w:rPr>
      </w:pPr>
      <w:r w:rsidRPr="001C7A7F">
        <w:rPr>
          <w:rFonts w:cstheme="minorHAnsi"/>
          <w:bCs/>
        </w:rPr>
        <w:t>  exposure to school and community violence;</w:t>
      </w:r>
    </w:p>
    <w:p w14:paraId="5E05FCFB" w14:textId="77777777" w:rsidR="001C7A7F" w:rsidRPr="001C7A7F" w:rsidRDefault="001C7A7F" w:rsidP="001C7A7F">
      <w:pPr>
        <w:pStyle w:val="dateline"/>
        <w:spacing w:line="480" w:lineRule="auto"/>
        <w:rPr>
          <w:rFonts w:cstheme="minorHAnsi"/>
          <w:bCs/>
        </w:rPr>
      </w:pPr>
      <w:r w:rsidRPr="001C7A7F">
        <w:rPr>
          <w:rFonts w:cstheme="minorHAnsi"/>
          <w:bCs/>
        </w:rPr>
        <w:t>  experiencing racism;</w:t>
      </w:r>
    </w:p>
    <w:p w14:paraId="26C70B7E" w14:textId="77777777" w:rsidR="001C7A7F" w:rsidRPr="001C7A7F" w:rsidRDefault="001C7A7F" w:rsidP="001C7A7F">
      <w:pPr>
        <w:pStyle w:val="dateline"/>
        <w:spacing w:line="480" w:lineRule="auto"/>
        <w:rPr>
          <w:rFonts w:cstheme="minorHAnsi"/>
          <w:bCs/>
        </w:rPr>
      </w:pPr>
      <w:r w:rsidRPr="001C7A7F">
        <w:rPr>
          <w:rFonts w:cstheme="minorHAnsi"/>
          <w:bCs/>
        </w:rPr>
        <w:t>  living in an unsafe neighbourhood;</w:t>
      </w:r>
    </w:p>
    <w:p w14:paraId="3D10A03D" w14:textId="77777777" w:rsidR="001C7A7F" w:rsidRPr="001C7A7F" w:rsidRDefault="001C7A7F" w:rsidP="001C7A7F">
      <w:pPr>
        <w:pStyle w:val="dateline"/>
        <w:spacing w:line="480" w:lineRule="auto"/>
        <w:rPr>
          <w:rFonts w:cstheme="minorHAnsi"/>
          <w:bCs/>
        </w:rPr>
      </w:pPr>
      <w:r w:rsidRPr="001C7A7F">
        <w:rPr>
          <w:rFonts w:cstheme="minorHAnsi"/>
          <w:bCs/>
        </w:rPr>
        <w:t>  close network member being seriously ill or attempting suicide;</w:t>
      </w:r>
    </w:p>
    <w:p w14:paraId="41E0183B" w14:textId="77777777" w:rsidR="001C7A7F" w:rsidRPr="001C7A7F" w:rsidRDefault="001C7A7F" w:rsidP="001C7A7F">
      <w:pPr>
        <w:pStyle w:val="dateline"/>
        <w:spacing w:line="480" w:lineRule="auto"/>
        <w:rPr>
          <w:rFonts w:cstheme="minorHAnsi"/>
          <w:bCs/>
        </w:rPr>
      </w:pPr>
      <w:r w:rsidRPr="001C7A7F">
        <w:rPr>
          <w:rFonts w:cstheme="minorHAnsi"/>
          <w:bCs/>
        </w:rPr>
        <w:t>  low socioeconomic status;</w:t>
      </w:r>
    </w:p>
    <w:p w14:paraId="6863BBAE" w14:textId="7A550FB1" w:rsidR="000A1893" w:rsidRDefault="001C7A7F" w:rsidP="001C7A7F">
      <w:pPr>
        <w:pStyle w:val="dateline"/>
        <w:spacing w:line="480" w:lineRule="auto"/>
        <w:rPr>
          <w:rFonts w:cstheme="minorHAnsi"/>
          <w:bCs/>
          <w:lang w:val="en-CA"/>
        </w:rPr>
      </w:pPr>
      <w:r w:rsidRPr="001C7A7F">
        <w:rPr>
          <w:rFonts w:cstheme="minorHAnsi"/>
          <w:bCs/>
          <w:lang w:val="en-CA"/>
        </w:rPr>
        <w:t>  and having lived in foster-care.</w:t>
      </w:r>
    </w:p>
    <w:p w14:paraId="2C47ED11" w14:textId="775FE5FA" w:rsidR="001C7A7F" w:rsidRDefault="001C7A7F" w:rsidP="001C7A7F">
      <w:pPr>
        <w:pStyle w:val="dateline"/>
        <w:spacing w:line="480" w:lineRule="auto"/>
        <w:rPr>
          <w:rFonts w:cstheme="minorHAnsi"/>
          <w:bCs/>
          <w:lang w:val="en-CA"/>
        </w:rPr>
      </w:pPr>
      <w:r>
        <w:rPr>
          <w:rFonts w:cstheme="minorHAnsi"/>
          <w:bCs/>
          <w:lang w:val="en-CA"/>
        </w:rPr>
        <w:t>“</w:t>
      </w:r>
      <w:r w:rsidRPr="001C7A7F">
        <w:rPr>
          <w:rFonts w:cstheme="minorHAnsi"/>
          <w:bCs/>
          <w:lang w:val="en-CA"/>
        </w:rPr>
        <w:t>Students who experience these forms of adversity are too often seen as perpetrators of adversity, rather than children who are coping with the profound impacts of trauma</w:t>
      </w:r>
      <w:r>
        <w:rPr>
          <w:rFonts w:cstheme="minorHAnsi"/>
          <w:bCs/>
          <w:lang w:val="en-CA"/>
        </w:rPr>
        <w:t>,” she notes.</w:t>
      </w:r>
    </w:p>
    <w:p w14:paraId="35068E40" w14:textId="71752193" w:rsidR="001C7A7F" w:rsidRPr="004811C7" w:rsidRDefault="001C7A7F" w:rsidP="001C7A7F">
      <w:pPr>
        <w:pStyle w:val="dateline"/>
        <w:spacing w:line="480" w:lineRule="auto"/>
        <w:rPr>
          <w:rFonts w:cstheme="minorHAnsi"/>
          <w:bCs/>
          <w:lang w:val="en-CA"/>
        </w:rPr>
      </w:pPr>
      <w:r>
        <w:rPr>
          <w:rFonts w:cstheme="minorHAnsi"/>
          <w:bCs/>
          <w:lang w:val="en-CA"/>
        </w:rPr>
        <w:t>The full article has a number of resources links.</w:t>
      </w:r>
    </w:p>
    <w:p w14:paraId="7ACDD238" w14:textId="77777777" w:rsidR="004811C7" w:rsidRPr="004811C7" w:rsidRDefault="00F373AF" w:rsidP="004811C7">
      <w:pPr>
        <w:pStyle w:val="dateline"/>
        <w:spacing w:line="480" w:lineRule="auto"/>
        <w:rPr>
          <w:rFonts w:cstheme="minorHAnsi"/>
          <w:bCs/>
        </w:rPr>
      </w:pPr>
      <w:hyperlink r:id="rId12" w:history="1">
        <w:r w:rsidR="004811C7" w:rsidRPr="004811C7">
          <w:rPr>
            <w:rStyle w:val="Hyperlink"/>
            <w:rFonts w:cstheme="minorHAnsi"/>
            <w:bCs/>
          </w:rPr>
          <w:t>How adversity impacts the disproportionate suspensions of Black and Indigenous students (theconversation.com)</w:t>
        </w:r>
      </w:hyperlink>
    </w:p>
    <w:p w14:paraId="0BF6C943" w14:textId="28497A8D" w:rsidR="001C7A7F" w:rsidRDefault="00343CFE" w:rsidP="001C7A7F">
      <w:pPr>
        <w:pStyle w:val="dateline"/>
        <w:spacing w:line="480" w:lineRule="auto"/>
        <w:rPr>
          <w:rFonts w:cstheme="minorHAnsi"/>
          <w:bCs/>
        </w:rPr>
      </w:pPr>
      <w:r w:rsidRPr="001C7A7F">
        <w:rPr>
          <w:rFonts w:cstheme="minorHAnsi"/>
          <w:bCs/>
        </w:rPr>
        <w:t>3</w:t>
      </w:r>
      <w:r w:rsidR="000B7A7C" w:rsidRPr="001C7A7F">
        <w:rPr>
          <w:rFonts w:cstheme="minorHAnsi"/>
          <w:bCs/>
        </w:rPr>
        <w:t xml:space="preserve">. </w:t>
      </w:r>
      <w:r w:rsidR="006016C1" w:rsidRPr="001C7A7F">
        <w:rPr>
          <w:rFonts w:cstheme="minorHAnsi"/>
          <w:bCs/>
          <w:lang w:val="en-CA"/>
        </w:rPr>
        <w:t xml:space="preserve"> </w:t>
      </w:r>
      <w:r w:rsidR="001C7A7F" w:rsidRPr="001C7A7F">
        <w:rPr>
          <w:rFonts w:cstheme="minorHAnsi"/>
          <w:bCs/>
        </w:rPr>
        <w:t>Wetlands provide learning experience for Saskatoon elementary school</w:t>
      </w:r>
    </w:p>
    <w:p w14:paraId="6ED78681" w14:textId="70293E46" w:rsidR="001C7A7F" w:rsidRPr="001C7A7F" w:rsidRDefault="001C7A7F" w:rsidP="001C7A7F">
      <w:pPr>
        <w:pStyle w:val="dateline"/>
        <w:spacing w:line="480" w:lineRule="auto"/>
        <w:rPr>
          <w:rFonts w:cstheme="minorHAnsi"/>
          <w:bCs/>
        </w:rPr>
      </w:pPr>
      <w:r>
        <w:rPr>
          <w:rFonts w:cstheme="minorHAnsi"/>
          <w:bCs/>
        </w:rPr>
        <w:t xml:space="preserve">In addition to attending </w:t>
      </w:r>
      <w:r w:rsidRPr="001C7A7F">
        <w:rPr>
          <w:rFonts w:cstheme="minorHAnsi"/>
          <w:bCs/>
          <w:lang w:val="en-CA"/>
        </w:rPr>
        <w:t xml:space="preserve">the first elementary school in </w:t>
      </w:r>
      <w:r>
        <w:rPr>
          <w:rFonts w:cstheme="minorHAnsi"/>
          <w:bCs/>
          <w:lang w:val="en-CA"/>
        </w:rPr>
        <w:t xml:space="preserve">Saskatchewan </w:t>
      </w:r>
      <w:r w:rsidRPr="001C7A7F">
        <w:rPr>
          <w:rFonts w:cstheme="minorHAnsi"/>
          <w:bCs/>
          <w:lang w:val="en-CA"/>
        </w:rPr>
        <w:t>to earn the designation of Wetland Centre of Excellence</w:t>
      </w:r>
      <w:r>
        <w:rPr>
          <w:rFonts w:cstheme="minorHAnsi"/>
          <w:bCs/>
          <w:lang w:val="en-CA"/>
        </w:rPr>
        <w:t xml:space="preserve">, students at </w:t>
      </w:r>
      <w:r w:rsidRPr="001C7A7F">
        <w:rPr>
          <w:rFonts w:cstheme="minorHAnsi"/>
          <w:bCs/>
          <w:lang w:val="en-CA"/>
        </w:rPr>
        <w:t>Colette Bourgonje School</w:t>
      </w:r>
      <w:r>
        <w:rPr>
          <w:rFonts w:cstheme="minorHAnsi"/>
          <w:bCs/>
          <w:lang w:val="en-CA"/>
        </w:rPr>
        <w:t xml:space="preserve"> in Saskatoon are able to receive these lessons outdoors</w:t>
      </w:r>
      <w:r w:rsidR="00E2549D">
        <w:rPr>
          <w:rFonts w:cstheme="minorHAnsi"/>
          <w:bCs/>
          <w:lang w:val="en-CA"/>
        </w:rPr>
        <w:t xml:space="preserve"> and interact with other grades. The wetland is “</w:t>
      </w:r>
      <w:r w:rsidR="00E2549D" w:rsidRPr="00E2549D">
        <w:rPr>
          <w:rFonts w:cstheme="minorHAnsi"/>
          <w:bCs/>
          <w:lang w:val="en-CA"/>
        </w:rPr>
        <w:t>just a short walk away that has some pines and some fields to walk in,</w:t>
      </w:r>
      <w:r w:rsidR="00E2549D">
        <w:rPr>
          <w:rFonts w:cstheme="minorHAnsi"/>
          <w:bCs/>
          <w:lang w:val="en-CA"/>
        </w:rPr>
        <w:t>” said a Grade 7 student. “</w:t>
      </w:r>
      <w:r w:rsidR="00E2549D" w:rsidRPr="00E2549D">
        <w:rPr>
          <w:rFonts w:cstheme="minorHAnsi"/>
          <w:bCs/>
          <w:lang w:val="en-CA"/>
        </w:rPr>
        <w:t>We experience new outdoor learning. For example, if we're there with some of our younger students, we can set up scavenger hunts, or when we're there on our own, we can just sit on some rocks and just enjoy the view.</w:t>
      </w:r>
      <w:r w:rsidR="00E2549D">
        <w:rPr>
          <w:rFonts w:cstheme="minorHAnsi"/>
          <w:bCs/>
          <w:lang w:val="en-CA"/>
        </w:rPr>
        <w:t xml:space="preserve">” The teachers feel the experience has been rewarding for the entire school: </w:t>
      </w:r>
      <w:r w:rsidR="00E2549D" w:rsidRPr="00E2549D">
        <w:rPr>
          <w:rFonts w:cstheme="minorHAnsi"/>
          <w:bCs/>
          <w:lang w:val="en-CA"/>
        </w:rPr>
        <w:t xml:space="preserve">"As educators, we're always looking for hands-on ways to engage our </w:t>
      </w:r>
      <w:r w:rsidR="00E2549D" w:rsidRPr="00E2549D">
        <w:rPr>
          <w:rFonts w:cstheme="minorHAnsi"/>
          <w:bCs/>
          <w:lang w:val="en-CA"/>
        </w:rPr>
        <w:lastRenderedPageBreak/>
        <w:t>students in our lessons. And this is just one of those ways that we can do that to get the kids out in nature and get their hands, well, dirty."</w:t>
      </w:r>
    </w:p>
    <w:p w14:paraId="1593C79D" w14:textId="77777777" w:rsidR="001C7A7F" w:rsidRPr="001C7A7F" w:rsidRDefault="00F373AF" w:rsidP="001C7A7F">
      <w:pPr>
        <w:pStyle w:val="dateline"/>
        <w:spacing w:line="480" w:lineRule="auto"/>
        <w:rPr>
          <w:rFonts w:cstheme="minorHAnsi"/>
          <w:bCs/>
        </w:rPr>
      </w:pPr>
      <w:hyperlink r:id="rId13" w:history="1">
        <w:r w:rsidR="001C7A7F" w:rsidRPr="001C7A7F">
          <w:rPr>
            <w:rStyle w:val="Hyperlink"/>
            <w:rFonts w:cstheme="minorHAnsi"/>
            <w:bCs/>
          </w:rPr>
          <w:t>Wetlands provide learning experience for Saskatoon elementary school | CBC News</w:t>
        </w:r>
      </w:hyperlink>
    </w:p>
    <w:p w14:paraId="3C1C7FD8" w14:textId="67D6B735" w:rsidR="00F20C63" w:rsidRDefault="00E0282E" w:rsidP="00F20C63">
      <w:pPr>
        <w:pStyle w:val="dateline"/>
        <w:spacing w:line="480" w:lineRule="auto"/>
        <w:rPr>
          <w:lang w:val="en-CA"/>
        </w:rPr>
      </w:pPr>
      <w:r w:rsidRPr="00F20C63">
        <w:rPr>
          <w:rFonts w:asciiTheme="minorHAnsi" w:hAnsiTheme="minorHAnsi" w:cstheme="minorHAnsi"/>
        </w:rPr>
        <w:t>4</w:t>
      </w:r>
      <w:r w:rsidR="009A3D80" w:rsidRPr="00F20C63">
        <w:rPr>
          <w:rFonts w:asciiTheme="minorHAnsi" w:hAnsiTheme="minorHAnsi" w:cstheme="minorHAnsi"/>
        </w:rPr>
        <w:t xml:space="preserve">. </w:t>
      </w:r>
      <w:bookmarkStart w:id="1" w:name="_GoBack"/>
      <w:bookmarkEnd w:id="1"/>
      <w:r w:rsidR="00F20C63" w:rsidRPr="00F20C63">
        <w:rPr>
          <w:lang w:val="en-CA"/>
        </w:rPr>
        <w:t>Tsek'ene, Farsi, Punjabi, Tagalog: The push to diversify languages in schools</w:t>
      </w:r>
    </w:p>
    <w:p w14:paraId="47EB3528" w14:textId="782CA342" w:rsidR="00F20C63" w:rsidRPr="00F20C63" w:rsidRDefault="00F20C63" w:rsidP="00F20C63">
      <w:pPr>
        <w:pStyle w:val="dateline"/>
        <w:spacing w:line="480" w:lineRule="auto"/>
        <w:rPr>
          <w:lang w:val="en-CA"/>
        </w:rPr>
      </w:pPr>
      <w:r>
        <w:rPr>
          <w:lang w:val="en-CA"/>
        </w:rPr>
        <w:t xml:space="preserve">The Education Ministry in British Columbia is considering adding Farsi curriculum to eight other languages with official course guidelines in the province, in addition to English and French: </w:t>
      </w:r>
      <w:r w:rsidRPr="00F20C63">
        <w:rPr>
          <w:lang w:val="en-CA"/>
        </w:rPr>
        <w:t>The others are German, Italian, Japanese, Korean, Mandarin, Punjabi, Spanish and American Sign Language.</w:t>
      </w:r>
      <w:r>
        <w:rPr>
          <w:lang w:val="en-CA"/>
        </w:rPr>
        <w:t xml:space="preserve"> </w:t>
      </w:r>
      <w:r w:rsidRPr="00F20C63">
        <w:rPr>
          <w:lang w:val="en-CA"/>
        </w:rPr>
        <w:t>The province also has curriculum for </w:t>
      </w:r>
      <w:hyperlink r:id="rId14" w:tgtFrame="_blank" w:history="1">
        <w:r w:rsidRPr="00F20C63">
          <w:rPr>
            <w:rStyle w:val="Hyperlink"/>
            <w:lang w:val="en-CA"/>
          </w:rPr>
          <w:t>18 First Nations languages</w:t>
        </w:r>
      </w:hyperlink>
      <w:r w:rsidRPr="00F20C63">
        <w:rPr>
          <w:lang w:val="en-CA"/>
        </w:rPr>
        <w:t>, and the Education Ministry said in an email that more are “in development.”</w:t>
      </w:r>
      <w:r>
        <w:rPr>
          <w:lang w:val="en-CA"/>
        </w:rPr>
        <w:t xml:space="preserve"> </w:t>
      </w:r>
      <w:r w:rsidRPr="00F20C63">
        <w:rPr>
          <w:lang w:val="en-CA"/>
        </w:rPr>
        <w:t>“That would be a dream come true,” said</w:t>
      </w:r>
      <w:r>
        <w:rPr>
          <w:lang w:val="en-CA"/>
        </w:rPr>
        <w:t xml:space="preserve"> the father of a Grade 3 student hoping to learn Farsi at school</w:t>
      </w:r>
      <w:r w:rsidRPr="00F20C63">
        <w:rPr>
          <w:lang w:val="en-CA"/>
        </w:rPr>
        <w:t>. “We want our kids to be close to our culture, so establishing meaningful connection through language. … So they can read books, read poems, and write their own name.</w:t>
      </w:r>
      <w:r>
        <w:rPr>
          <w:lang w:val="en-CA"/>
        </w:rPr>
        <w:t xml:space="preserve">” Despite this response, many in the province are hoping for more, particularly in revitalizing Indigenous languages. </w:t>
      </w:r>
      <w:r w:rsidRPr="00F20C63">
        <w:rPr>
          <w:lang w:val="en-CA"/>
        </w:rPr>
        <w:t>“I would love to see the province provide more support towards the revitalization of Indigenous languages within British Columbia, because it is the province that has the highest number of varied Indigenous languages and they are at risk,” said Rome Lavrencic, a New Westminster French teacher who has been on a B.C. Teachers’ Federation languages committee for 16 years.</w:t>
      </w:r>
    </w:p>
    <w:p w14:paraId="2C615085" w14:textId="4C2E4A33" w:rsidR="00F20C63" w:rsidRPr="00F20C63" w:rsidRDefault="003B7A6C" w:rsidP="00F20C63">
      <w:pPr>
        <w:pStyle w:val="dateline"/>
        <w:spacing w:line="480" w:lineRule="auto"/>
        <w:rPr>
          <w:rStyle w:val="Hyperlink"/>
        </w:rPr>
      </w:pPr>
      <w:r>
        <w:fldChar w:fldCharType="begin"/>
      </w:r>
      <w:r>
        <w:instrText xml:space="preserve"> HYPERLINK "https://theprovince.com/news/local-news/tsekene-farsi-punjabi-tagalog-the-push-to-diversify-languages-in-schools/wcm/26e413bf-c881-45b8-b31a-5fca380cdb5c" </w:instrText>
      </w:r>
      <w:r>
        <w:fldChar w:fldCharType="separate"/>
      </w:r>
      <w:r w:rsidR="00F20C63" w:rsidRPr="00F20C63">
        <w:rPr>
          <w:rStyle w:val="Hyperlink"/>
        </w:rPr>
        <w:t>Tsek'ene, Farsi, Punjabi, Tagalog: The push to diversify languages in schools | The Province</w:t>
      </w:r>
    </w:p>
    <w:p w14:paraId="18C00ADB" w14:textId="5E032AAA" w:rsidR="00E13BC7" w:rsidRPr="000B7A7C" w:rsidRDefault="003B7A6C" w:rsidP="00F20C63">
      <w:pPr>
        <w:pStyle w:val="dateline"/>
        <w:spacing w:line="480" w:lineRule="auto"/>
        <w:rPr>
          <w:rFonts w:cstheme="minorHAnsi"/>
          <w:bCs/>
          <w:color w:val="FF0000"/>
        </w:rPr>
      </w:pPr>
      <w:r>
        <w:fldChar w:fldCharType="end"/>
      </w:r>
      <w:r w:rsidR="00F373AF">
        <w:rPr>
          <w:rFonts w:cstheme="minorHAnsi"/>
          <w:bCs/>
          <w:color w:val="FF0000"/>
        </w:rPr>
        <w:pict w14:anchorId="1EB01E3E">
          <v:rect id="_x0000_i1026" style="width:463pt;height:9.75pt" o:hrpct="0" o:hralign="center" o:hrstd="t" o:hrnoshade="t" o:hr="t" fillcolor="#335ebf" stroked="f"/>
        </w:pict>
      </w:r>
    </w:p>
    <w:p w14:paraId="013159CA" w14:textId="78793476" w:rsidR="001F189D" w:rsidRPr="0037100B" w:rsidRDefault="00E13BC7" w:rsidP="00CF7E4D">
      <w:pPr>
        <w:pStyle w:val="dateline"/>
        <w:spacing w:after="120" w:line="480" w:lineRule="auto"/>
        <w:rPr>
          <w:b/>
        </w:rPr>
      </w:pPr>
      <w:r w:rsidRPr="0037100B">
        <w:rPr>
          <w:rFonts w:asciiTheme="minorHAnsi" w:hAnsiTheme="minorHAnsi" w:cstheme="minorHAnsi"/>
          <w:b/>
        </w:rPr>
        <w:t xml:space="preserve">Resources: </w:t>
      </w:r>
      <w:r w:rsidR="00405271" w:rsidRPr="0037100B">
        <w:rPr>
          <w:b/>
        </w:rPr>
        <w:t xml:space="preserve"> </w:t>
      </w:r>
    </w:p>
    <w:p w14:paraId="44FC93D8" w14:textId="647F2665" w:rsidR="00070CCC" w:rsidRDefault="00D34038" w:rsidP="00070CCC">
      <w:pPr>
        <w:pStyle w:val="dateline"/>
        <w:spacing w:line="480" w:lineRule="auto"/>
        <w:rPr>
          <w:lang w:val="en-CA"/>
        </w:rPr>
      </w:pPr>
      <w:r w:rsidRPr="0037100B">
        <w:rPr>
          <w:b/>
          <w:bCs/>
        </w:rPr>
        <w:t>Resource 1.</w:t>
      </w:r>
      <w:r w:rsidR="00070CCC">
        <w:rPr>
          <w:bCs/>
          <w:i/>
          <w:iCs/>
        </w:rPr>
        <w:t xml:space="preserve"> </w:t>
      </w:r>
      <w:r w:rsidR="00070CCC" w:rsidRPr="00070CCC">
        <w:rPr>
          <w:lang w:val="en-CA"/>
        </w:rPr>
        <w:t>When the world stops: The impact of COVID-19 on physical activity and physical literacy</w:t>
      </w:r>
    </w:p>
    <w:p w14:paraId="44D7DBF1" w14:textId="6A2656E5" w:rsidR="00070CCC" w:rsidRDefault="00070CCC" w:rsidP="00070CCC">
      <w:pPr>
        <w:pStyle w:val="dateline"/>
        <w:spacing w:line="480" w:lineRule="auto"/>
        <w:rPr>
          <w:lang w:val="en-CA"/>
        </w:rPr>
      </w:pPr>
      <w:r>
        <w:rPr>
          <w:lang w:val="en-CA"/>
        </w:rPr>
        <w:t>This article, by</w:t>
      </w:r>
      <w:r w:rsidRPr="00070CCC">
        <w:rPr>
          <w:lang w:val="en-CA"/>
        </w:rPr>
        <w:t> </w:t>
      </w:r>
      <w:hyperlink r:id="rId15" w:anchor="con1" w:history="1">
        <w:r w:rsidRPr="00070CCC">
          <w:rPr>
            <w:rStyle w:val="Hyperlink"/>
            <w:lang w:val="en-CA"/>
          </w:rPr>
          <w:t>Natalie E. Houser</w:t>
        </w:r>
      </w:hyperlink>
      <w:r w:rsidRPr="00070CCC">
        <w:rPr>
          <w:lang w:val="en-CA"/>
        </w:rPr>
        <w:t>, </w:t>
      </w:r>
      <w:hyperlink r:id="rId16" w:anchor="con2" w:history="1">
        <w:r w:rsidRPr="00070CCC">
          <w:rPr>
            <w:rStyle w:val="Hyperlink"/>
            <w:lang w:val="en-CA"/>
          </w:rPr>
          <w:t>M. Louise Humbert</w:t>
        </w:r>
      </w:hyperlink>
      <w:r w:rsidRPr="00070CCC">
        <w:rPr>
          <w:lang w:val="en-CA"/>
        </w:rPr>
        <w:t>, </w:t>
      </w:r>
      <w:hyperlink r:id="rId17" w:anchor="con3" w:history="1">
        <w:r w:rsidRPr="00070CCC">
          <w:rPr>
            <w:rStyle w:val="Hyperlink"/>
            <w:lang w:val="en-CA"/>
          </w:rPr>
          <w:t>Dean Kriellaars</w:t>
        </w:r>
      </w:hyperlink>
      <w:r w:rsidRPr="00070CCC">
        <w:rPr>
          <w:lang w:val="en-CA"/>
        </w:rPr>
        <w:t>, and </w:t>
      </w:r>
      <w:hyperlink r:id="rId18" w:anchor="con4" w:history="1">
        <w:r w:rsidRPr="00070CCC">
          <w:rPr>
            <w:rStyle w:val="Hyperlink"/>
            <w:lang w:val="en-CA"/>
          </w:rPr>
          <w:t>Marta C. Erlandson</w:t>
        </w:r>
      </w:hyperlink>
      <w:r w:rsidRPr="00070CCC">
        <w:rPr>
          <w:lang w:val="en-CA"/>
        </w:rPr>
        <w:t> </w:t>
      </w:r>
      <w:r>
        <w:rPr>
          <w:lang w:val="en-CA"/>
        </w:rPr>
        <w:t>follows from Dr. Kriellaars’s presentation to JCSH on July 12 2022. The full article is available through Open Access.</w:t>
      </w:r>
    </w:p>
    <w:p w14:paraId="5D85CC1B" w14:textId="6D468136" w:rsidR="00070CCC" w:rsidRPr="00070CCC" w:rsidRDefault="00070CCC" w:rsidP="00070CCC">
      <w:pPr>
        <w:pStyle w:val="dateline"/>
        <w:spacing w:line="480" w:lineRule="auto"/>
      </w:pPr>
      <w:r>
        <w:rPr>
          <w:lang w:val="en-CA"/>
        </w:rPr>
        <w:t>From the abstract: “</w:t>
      </w:r>
      <w:r w:rsidRPr="00070CCC">
        <w:t>Matched pre-during pandemic comparison (160 children) revealed a substantial reduction in physical activity (</w:t>
      </w:r>
      <w:r w:rsidRPr="00070CCC">
        <w:rPr>
          <w:i/>
          <w:iCs/>
        </w:rPr>
        <w:t>p</w:t>
      </w:r>
      <w:r w:rsidRPr="00070CCC">
        <w:t> &lt; 0.001, r</w:t>
      </w:r>
      <w:r w:rsidRPr="00070CCC">
        <w:rPr>
          <w:vertAlign w:val="subscript"/>
        </w:rPr>
        <w:t>rb</w:t>
      </w:r>
      <w:r w:rsidRPr="00070CCC">
        <w:t> = 0.83), environmental participation (</w:t>
      </w:r>
      <w:r w:rsidRPr="00070CCC">
        <w:rPr>
          <w:i/>
          <w:iCs/>
        </w:rPr>
        <w:t>p</w:t>
      </w:r>
      <w:r w:rsidRPr="00070CCC">
        <w:t> = 0.046, r</w:t>
      </w:r>
      <w:r w:rsidRPr="00070CCC">
        <w:rPr>
          <w:vertAlign w:val="subscript"/>
        </w:rPr>
        <w:t>rb</w:t>
      </w:r>
      <w:r w:rsidRPr="00070CCC">
        <w:t xml:space="preserve"> = 0.16), </w:t>
      </w:r>
      <w:r w:rsidRPr="00070CCC">
        <w:lastRenderedPageBreak/>
        <w:t>movement valuation (</w:t>
      </w:r>
      <w:r w:rsidRPr="00070CCC">
        <w:rPr>
          <w:i/>
          <w:iCs/>
        </w:rPr>
        <w:t>p</w:t>
      </w:r>
      <w:r w:rsidRPr="00070CCC">
        <w:t> &lt; 0.001, r</w:t>
      </w:r>
      <w:r w:rsidRPr="00070CCC">
        <w:rPr>
          <w:vertAlign w:val="subscript"/>
        </w:rPr>
        <w:t>rb</w:t>
      </w:r>
      <w:r w:rsidRPr="00070CCC">
        <w:t> = 0.61), and parent perceptions of children’s physical literacy (</w:t>
      </w:r>
      <w:r w:rsidRPr="00070CCC">
        <w:rPr>
          <w:i/>
          <w:iCs/>
        </w:rPr>
        <w:t>p</w:t>
      </w:r>
      <w:r w:rsidRPr="00070CCC">
        <w:t> &lt; 0.001, r</w:t>
      </w:r>
      <w:r w:rsidRPr="00070CCC">
        <w:rPr>
          <w:vertAlign w:val="subscript"/>
        </w:rPr>
        <w:t>rb</w:t>
      </w:r>
      <w:r w:rsidRPr="00070CCC">
        <w:t> = 0.56). Examining physical activity trajectories, higher pre-pandemic physical literacy protected children from pandemic related activity decline. Emerging from the pandemic, interventions should address children’s eroded belief in movement and consider physical literacy levels of children in individualizing movement opportunities for restoration of activity levels.</w:t>
      </w:r>
    </w:p>
    <w:p w14:paraId="70F4143A" w14:textId="77777777" w:rsidR="00070CCC" w:rsidRPr="00070CCC" w:rsidRDefault="00070CCC" w:rsidP="00070CCC">
      <w:pPr>
        <w:pStyle w:val="dateline"/>
        <w:spacing w:line="480" w:lineRule="auto"/>
      </w:pPr>
      <w:r w:rsidRPr="00070CCC">
        <w:rPr>
          <w:b/>
          <w:bCs/>
        </w:rPr>
        <w:t>Novelty:</w:t>
      </w:r>
    </w:p>
    <w:p w14:paraId="7CF0E281" w14:textId="2776F95A" w:rsidR="00070CCC" w:rsidRPr="00070CCC" w:rsidRDefault="00070CCC" w:rsidP="00070CCC">
      <w:pPr>
        <w:pStyle w:val="dateline"/>
        <w:spacing w:line="480" w:lineRule="auto"/>
        <w:rPr>
          <w:b/>
          <w:bCs/>
        </w:rPr>
      </w:pPr>
      <w:r w:rsidRPr="00070CCC">
        <w:rPr>
          <w:b/>
          <w:bCs/>
        </w:rPr>
        <w:t>•</w:t>
      </w:r>
      <w:r>
        <w:rPr>
          <w:b/>
          <w:bCs/>
        </w:rPr>
        <w:t xml:space="preserve">  </w:t>
      </w:r>
      <w:r w:rsidRPr="00070CCC">
        <w:t>A substantial reduction in physical activity was associated with children who had lower physical literacy and resulted in reductions in children’s valuation of movement.</w:t>
      </w:r>
      <w:r>
        <w:rPr>
          <w:b/>
          <w:bCs/>
        </w:rPr>
        <w:t>”</w:t>
      </w:r>
    </w:p>
    <w:p w14:paraId="28C0A3A8" w14:textId="77777777" w:rsidR="00070CCC" w:rsidRPr="00070CCC" w:rsidRDefault="00F373AF" w:rsidP="00070CCC">
      <w:pPr>
        <w:pStyle w:val="dateline"/>
        <w:spacing w:line="480" w:lineRule="auto"/>
      </w:pPr>
      <w:hyperlink r:id="rId19" w:history="1">
        <w:r w:rsidR="00070CCC" w:rsidRPr="00070CCC">
          <w:rPr>
            <w:rStyle w:val="Hyperlink"/>
          </w:rPr>
          <w:t>https://cdnsciencepub.com/doi/full/10.1139/apnm-2022-0053</w:t>
        </w:r>
      </w:hyperlink>
    </w:p>
    <w:p w14:paraId="7DEBC240" w14:textId="7885B94B" w:rsidR="00070CCC" w:rsidRPr="00070CCC" w:rsidRDefault="006E16EA" w:rsidP="00070CCC">
      <w:pPr>
        <w:pStyle w:val="dateline"/>
        <w:spacing w:line="480" w:lineRule="auto"/>
        <w:rPr>
          <w:rFonts w:cstheme="minorHAnsi"/>
          <w:bCs/>
          <w:lang w:val="en-CA"/>
        </w:rPr>
      </w:pPr>
      <w:r w:rsidRPr="00070CCC">
        <w:rPr>
          <w:rFonts w:cstheme="minorHAnsi"/>
          <w:bCs/>
        </w:rPr>
        <w:t>Resource 2</w:t>
      </w:r>
      <w:r w:rsidR="00CF7E4D" w:rsidRPr="00070CCC">
        <w:rPr>
          <w:rFonts w:cstheme="minorHAnsi"/>
          <w:bCs/>
        </w:rPr>
        <w:t xml:space="preserve">. </w:t>
      </w:r>
      <w:r w:rsidR="00070CCC" w:rsidRPr="00070CCC">
        <w:rPr>
          <w:rFonts w:cstheme="minorHAnsi"/>
          <w:bCs/>
          <w:lang w:val="en-CA"/>
        </w:rPr>
        <w:t>There’s Another Way</w:t>
      </w:r>
    </w:p>
    <w:p w14:paraId="5887FAD3" w14:textId="77777777" w:rsidR="00070CCC" w:rsidRPr="00070CCC" w:rsidRDefault="00070CCC" w:rsidP="00070CCC">
      <w:pPr>
        <w:pStyle w:val="dateline"/>
        <w:spacing w:line="480" w:lineRule="auto"/>
        <w:rPr>
          <w:rFonts w:cstheme="minorHAnsi"/>
          <w:bCs/>
        </w:rPr>
      </w:pPr>
      <w:r w:rsidRPr="00070CCC">
        <w:rPr>
          <w:rFonts w:cstheme="minorHAnsi"/>
          <w:bCs/>
        </w:rPr>
        <w:t>This whiteboard animated video was written and voiced by PREVNet’s National Youth Advisory Committee to help start difficult conversations about dating scenarios that young people can find themselves in. The Youth Advisory Committee hopes this video will help classrooms and youth programs discuss healthy relationships and consent culture.</w:t>
      </w:r>
    </w:p>
    <w:p w14:paraId="73AE47F1" w14:textId="77777777" w:rsidR="00070CCC" w:rsidRPr="00070CCC" w:rsidRDefault="00F373AF" w:rsidP="00070CCC">
      <w:pPr>
        <w:pStyle w:val="dateline"/>
        <w:spacing w:line="480" w:lineRule="auto"/>
        <w:rPr>
          <w:rFonts w:cstheme="minorHAnsi"/>
          <w:bCs/>
        </w:rPr>
      </w:pPr>
      <w:hyperlink r:id="rId20" w:history="1">
        <w:r w:rsidR="00070CCC" w:rsidRPr="00070CCC">
          <w:rPr>
            <w:rStyle w:val="Hyperlink"/>
            <w:rFonts w:cstheme="minorHAnsi"/>
            <w:bCs/>
          </w:rPr>
          <w:t>https://youthdatingviolence.prevnet.ca/learn-more/youth/</w:t>
        </w:r>
      </w:hyperlink>
    </w:p>
    <w:p w14:paraId="0244D6B2" w14:textId="000AD9D9" w:rsidR="00BB726C" w:rsidRPr="00BB726C" w:rsidRDefault="00070CCC" w:rsidP="00070CCC">
      <w:pPr>
        <w:pStyle w:val="dateline"/>
        <w:spacing w:line="480" w:lineRule="auto"/>
        <w:rPr>
          <w:bCs/>
        </w:rPr>
      </w:pPr>
      <w:r w:rsidRPr="00BB726C">
        <w:rPr>
          <w:bCs/>
        </w:rPr>
        <w:t xml:space="preserve"> </w:t>
      </w:r>
    </w:p>
    <w:p w14:paraId="338FF46E" w14:textId="25ED12FA" w:rsidR="006B171D" w:rsidRPr="000B7A7C" w:rsidRDefault="006B171D" w:rsidP="00BB726C">
      <w:pPr>
        <w:pStyle w:val="dateline"/>
        <w:spacing w:line="480" w:lineRule="auto"/>
        <w:rPr>
          <w:rFonts w:asciiTheme="minorHAnsi" w:hAnsiTheme="minorHAnsi" w:cstheme="minorHAnsi"/>
          <w:bCs/>
          <w:color w:val="FF0000"/>
        </w:rPr>
      </w:pPr>
    </w:p>
    <w:sectPr w:rsidR="006B171D" w:rsidRPr="000B7A7C"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9"/>
  </w:num>
  <w:num w:numId="6">
    <w:abstractNumId w:val="7"/>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26F4"/>
    <w:rsid w:val="000035C8"/>
    <w:rsid w:val="00022E63"/>
    <w:rsid w:val="0002539C"/>
    <w:rsid w:val="000301D0"/>
    <w:rsid w:val="00032E7A"/>
    <w:rsid w:val="000357FD"/>
    <w:rsid w:val="00042727"/>
    <w:rsid w:val="00045AAB"/>
    <w:rsid w:val="0005112E"/>
    <w:rsid w:val="00055119"/>
    <w:rsid w:val="00055ED9"/>
    <w:rsid w:val="00056A48"/>
    <w:rsid w:val="00065B71"/>
    <w:rsid w:val="00066ED9"/>
    <w:rsid w:val="00070CCC"/>
    <w:rsid w:val="00071580"/>
    <w:rsid w:val="000751F1"/>
    <w:rsid w:val="0009531E"/>
    <w:rsid w:val="00096559"/>
    <w:rsid w:val="00096A81"/>
    <w:rsid w:val="000A179E"/>
    <w:rsid w:val="000A1893"/>
    <w:rsid w:val="000A237F"/>
    <w:rsid w:val="000A26F3"/>
    <w:rsid w:val="000A43D9"/>
    <w:rsid w:val="000A71A6"/>
    <w:rsid w:val="000B10BE"/>
    <w:rsid w:val="000B2F03"/>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76F9"/>
    <w:rsid w:val="00140C70"/>
    <w:rsid w:val="00141BAB"/>
    <w:rsid w:val="001432CA"/>
    <w:rsid w:val="00143D08"/>
    <w:rsid w:val="00146B64"/>
    <w:rsid w:val="00151FE8"/>
    <w:rsid w:val="00152B51"/>
    <w:rsid w:val="00160B98"/>
    <w:rsid w:val="0017204F"/>
    <w:rsid w:val="001726F8"/>
    <w:rsid w:val="00172A52"/>
    <w:rsid w:val="00176A39"/>
    <w:rsid w:val="0018373A"/>
    <w:rsid w:val="001A4346"/>
    <w:rsid w:val="001A5D41"/>
    <w:rsid w:val="001A70A2"/>
    <w:rsid w:val="001B0D49"/>
    <w:rsid w:val="001B37AE"/>
    <w:rsid w:val="001B56E0"/>
    <w:rsid w:val="001C165D"/>
    <w:rsid w:val="001C258E"/>
    <w:rsid w:val="001C7A7F"/>
    <w:rsid w:val="001D3672"/>
    <w:rsid w:val="001D3F4B"/>
    <w:rsid w:val="001D52D7"/>
    <w:rsid w:val="001D634B"/>
    <w:rsid w:val="001D6698"/>
    <w:rsid w:val="001E1DF9"/>
    <w:rsid w:val="001F08B9"/>
    <w:rsid w:val="001F189D"/>
    <w:rsid w:val="001F21B6"/>
    <w:rsid w:val="001F5124"/>
    <w:rsid w:val="001F521D"/>
    <w:rsid w:val="002009D3"/>
    <w:rsid w:val="00215474"/>
    <w:rsid w:val="00224E8C"/>
    <w:rsid w:val="002441DE"/>
    <w:rsid w:val="00245FC6"/>
    <w:rsid w:val="002577FE"/>
    <w:rsid w:val="002631B4"/>
    <w:rsid w:val="00277440"/>
    <w:rsid w:val="00280FD6"/>
    <w:rsid w:val="00284452"/>
    <w:rsid w:val="002931E9"/>
    <w:rsid w:val="00294899"/>
    <w:rsid w:val="00295160"/>
    <w:rsid w:val="00295DDF"/>
    <w:rsid w:val="002A6BFF"/>
    <w:rsid w:val="002B0219"/>
    <w:rsid w:val="002B2505"/>
    <w:rsid w:val="002B34F0"/>
    <w:rsid w:val="002B65BE"/>
    <w:rsid w:val="002C186B"/>
    <w:rsid w:val="002D2673"/>
    <w:rsid w:val="002D44A2"/>
    <w:rsid w:val="002D4E54"/>
    <w:rsid w:val="002E15BD"/>
    <w:rsid w:val="002E2BB7"/>
    <w:rsid w:val="002F11F1"/>
    <w:rsid w:val="002F3498"/>
    <w:rsid w:val="00307985"/>
    <w:rsid w:val="00325357"/>
    <w:rsid w:val="003259F1"/>
    <w:rsid w:val="00326B4A"/>
    <w:rsid w:val="00343CFE"/>
    <w:rsid w:val="00346B8C"/>
    <w:rsid w:val="00352502"/>
    <w:rsid w:val="00353772"/>
    <w:rsid w:val="00355796"/>
    <w:rsid w:val="00370C3B"/>
    <w:rsid w:val="0037100B"/>
    <w:rsid w:val="003739E4"/>
    <w:rsid w:val="003758CA"/>
    <w:rsid w:val="003766F7"/>
    <w:rsid w:val="003773C1"/>
    <w:rsid w:val="00384F9E"/>
    <w:rsid w:val="003912D6"/>
    <w:rsid w:val="00391BA5"/>
    <w:rsid w:val="00392310"/>
    <w:rsid w:val="00396413"/>
    <w:rsid w:val="003A08A4"/>
    <w:rsid w:val="003A3686"/>
    <w:rsid w:val="003B0B3F"/>
    <w:rsid w:val="003B5428"/>
    <w:rsid w:val="003B6382"/>
    <w:rsid w:val="003B7A6C"/>
    <w:rsid w:val="003C095E"/>
    <w:rsid w:val="003C0AA7"/>
    <w:rsid w:val="003C3AF6"/>
    <w:rsid w:val="003C5341"/>
    <w:rsid w:val="003D2FA6"/>
    <w:rsid w:val="003D5FCC"/>
    <w:rsid w:val="003E5F97"/>
    <w:rsid w:val="003F2A7F"/>
    <w:rsid w:val="00401897"/>
    <w:rsid w:val="00405271"/>
    <w:rsid w:val="00420847"/>
    <w:rsid w:val="00433779"/>
    <w:rsid w:val="00434DFB"/>
    <w:rsid w:val="0043637B"/>
    <w:rsid w:val="00444941"/>
    <w:rsid w:val="00445804"/>
    <w:rsid w:val="00463E41"/>
    <w:rsid w:val="00470D54"/>
    <w:rsid w:val="00472440"/>
    <w:rsid w:val="00476ED8"/>
    <w:rsid w:val="004811C7"/>
    <w:rsid w:val="00482B82"/>
    <w:rsid w:val="00483147"/>
    <w:rsid w:val="00483D6C"/>
    <w:rsid w:val="004844EA"/>
    <w:rsid w:val="004860E7"/>
    <w:rsid w:val="004862F0"/>
    <w:rsid w:val="004874E7"/>
    <w:rsid w:val="00491084"/>
    <w:rsid w:val="00492ECC"/>
    <w:rsid w:val="0049645E"/>
    <w:rsid w:val="004B79BF"/>
    <w:rsid w:val="004C3FC5"/>
    <w:rsid w:val="004C635F"/>
    <w:rsid w:val="004D6142"/>
    <w:rsid w:val="004E10DC"/>
    <w:rsid w:val="004E30C6"/>
    <w:rsid w:val="004E3F72"/>
    <w:rsid w:val="004E3F8A"/>
    <w:rsid w:val="004E7444"/>
    <w:rsid w:val="004F15F2"/>
    <w:rsid w:val="004F549B"/>
    <w:rsid w:val="00512A92"/>
    <w:rsid w:val="00513A95"/>
    <w:rsid w:val="0051553D"/>
    <w:rsid w:val="00523F53"/>
    <w:rsid w:val="00527CBD"/>
    <w:rsid w:val="00537901"/>
    <w:rsid w:val="0054310E"/>
    <w:rsid w:val="00551F4F"/>
    <w:rsid w:val="0055276A"/>
    <w:rsid w:val="00552A08"/>
    <w:rsid w:val="00553A81"/>
    <w:rsid w:val="005606B3"/>
    <w:rsid w:val="00561429"/>
    <w:rsid w:val="00561E88"/>
    <w:rsid w:val="00563024"/>
    <w:rsid w:val="00563F6B"/>
    <w:rsid w:val="00566AD4"/>
    <w:rsid w:val="005700B9"/>
    <w:rsid w:val="0057475C"/>
    <w:rsid w:val="00575057"/>
    <w:rsid w:val="00575E2B"/>
    <w:rsid w:val="00577349"/>
    <w:rsid w:val="00583F5D"/>
    <w:rsid w:val="00585643"/>
    <w:rsid w:val="005948B8"/>
    <w:rsid w:val="005B1468"/>
    <w:rsid w:val="005B4B86"/>
    <w:rsid w:val="005D3B7B"/>
    <w:rsid w:val="005D57D2"/>
    <w:rsid w:val="005D5B22"/>
    <w:rsid w:val="005E370B"/>
    <w:rsid w:val="005E5533"/>
    <w:rsid w:val="00600D27"/>
    <w:rsid w:val="006016C1"/>
    <w:rsid w:val="006017DF"/>
    <w:rsid w:val="00606FEC"/>
    <w:rsid w:val="00613A5F"/>
    <w:rsid w:val="00613DE6"/>
    <w:rsid w:val="00617485"/>
    <w:rsid w:val="00623BC3"/>
    <w:rsid w:val="00624C15"/>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905A6"/>
    <w:rsid w:val="00691B83"/>
    <w:rsid w:val="00693021"/>
    <w:rsid w:val="00694762"/>
    <w:rsid w:val="006A5593"/>
    <w:rsid w:val="006A5A04"/>
    <w:rsid w:val="006B07D9"/>
    <w:rsid w:val="006B171D"/>
    <w:rsid w:val="006B1E88"/>
    <w:rsid w:val="006B2D25"/>
    <w:rsid w:val="006B361B"/>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23D22"/>
    <w:rsid w:val="00724B5D"/>
    <w:rsid w:val="00724BD8"/>
    <w:rsid w:val="007301C2"/>
    <w:rsid w:val="007339F8"/>
    <w:rsid w:val="007479BA"/>
    <w:rsid w:val="00750089"/>
    <w:rsid w:val="00754254"/>
    <w:rsid w:val="00755651"/>
    <w:rsid w:val="00755C28"/>
    <w:rsid w:val="00757C2A"/>
    <w:rsid w:val="007754C8"/>
    <w:rsid w:val="007758C3"/>
    <w:rsid w:val="00780148"/>
    <w:rsid w:val="007A2896"/>
    <w:rsid w:val="007A48F2"/>
    <w:rsid w:val="007A58FE"/>
    <w:rsid w:val="007B3BFE"/>
    <w:rsid w:val="007D68C4"/>
    <w:rsid w:val="007E1CAC"/>
    <w:rsid w:val="007E333B"/>
    <w:rsid w:val="007E7CB1"/>
    <w:rsid w:val="007F14F1"/>
    <w:rsid w:val="007F4D1A"/>
    <w:rsid w:val="00802DA1"/>
    <w:rsid w:val="008031F5"/>
    <w:rsid w:val="008060A0"/>
    <w:rsid w:val="00814D8A"/>
    <w:rsid w:val="00822E62"/>
    <w:rsid w:val="00827077"/>
    <w:rsid w:val="00833505"/>
    <w:rsid w:val="008343C7"/>
    <w:rsid w:val="00836F34"/>
    <w:rsid w:val="008473AB"/>
    <w:rsid w:val="0085642B"/>
    <w:rsid w:val="00873554"/>
    <w:rsid w:val="00873CBF"/>
    <w:rsid w:val="00894D60"/>
    <w:rsid w:val="008A2A47"/>
    <w:rsid w:val="008A2DE3"/>
    <w:rsid w:val="008A51DF"/>
    <w:rsid w:val="008A5432"/>
    <w:rsid w:val="008B2D7A"/>
    <w:rsid w:val="008B3AC3"/>
    <w:rsid w:val="008C55C1"/>
    <w:rsid w:val="008C5DE3"/>
    <w:rsid w:val="008C62E6"/>
    <w:rsid w:val="008D1691"/>
    <w:rsid w:val="008D6B32"/>
    <w:rsid w:val="008E0A23"/>
    <w:rsid w:val="008F462A"/>
    <w:rsid w:val="00901C1F"/>
    <w:rsid w:val="009029EB"/>
    <w:rsid w:val="00904D69"/>
    <w:rsid w:val="009057B1"/>
    <w:rsid w:val="00911B5C"/>
    <w:rsid w:val="00920101"/>
    <w:rsid w:val="009257F2"/>
    <w:rsid w:val="00930541"/>
    <w:rsid w:val="00932CE7"/>
    <w:rsid w:val="00934207"/>
    <w:rsid w:val="00936F04"/>
    <w:rsid w:val="00937E31"/>
    <w:rsid w:val="00940545"/>
    <w:rsid w:val="00940869"/>
    <w:rsid w:val="00946C37"/>
    <w:rsid w:val="009648BC"/>
    <w:rsid w:val="00971308"/>
    <w:rsid w:val="00975064"/>
    <w:rsid w:val="009777B2"/>
    <w:rsid w:val="00987535"/>
    <w:rsid w:val="009926BE"/>
    <w:rsid w:val="009A0E42"/>
    <w:rsid w:val="009A3D80"/>
    <w:rsid w:val="009A43CA"/>
    <w:rsid w:val="009A523A"/>
    <w:rsid w:val="009B0216"/>
    <w:rsid w:val="009B5245"/>
    <w:rsid w:val="009C0374"/>
    <w:rsid w:val="009C37D3"/>
    <w:rsid w:val="009C5FAE"/>
    <w:rsid w:val="009C666B"/>
    <w:rsid w:val="009D5A16"/>
    <w:rsid w:val="009E0133"/>
    <w:rsid w:val="009F01D7"/>
    <w:rsid w:val="00A01CF9"/>
    <w:rsid w:val="00A0241A"/>
    <w:rsid w:val="00A05D9D"/>
    <w:rsid w:val="00A10B6F"/>
    <w:rsid w:val="00A23CD9"/>
    <w:rsid w:val="00A2482A"/>
    <w:rsid w:val="00A24CDE"/>
    <w:rsid w:val="00A25C5E"/>
    <w:rsid w:val="00A3041E"/>
    <w:rsid w:val="00A31BBB"/>
    <w:rsid w:val="00A35F7B"/>
    <w:rsid w:val="00A375EC"/>
    <w:rsid w:val="00A50124"/>
    <w:rsid w:val="00A606B3"/>
    <w:rsid w:val="00A64959"/>
    <w:rsid w:val="00A7583E"/>
    <w:rsid w:val="00A80646"/>
    <w:rsid w:val="00A810B3"/>
    <w:rsid w:val="00A81684"/>
    <w:rsid w:val="00A820D6"/>
    <w:rsid w:val="00A83EA6"/>
    <w:rsid w:val="00A85D71"/>
    <w:rsid w:val="00A873BF"/>
    <w:rsid w:val="00A87D69"/>
    <w:rsid w:val="00A90A17"/>
    <w:rsid w:val="00A9428F"/>
    <w:rsid w:val="00A96DAE"/>
    <w:rsid w:val="00A97883"/>
    <w:rsid w:val="00AA0428"/>
    <w:rsid w:val="00AA17B2"/>
    <w:rsid w:val="00AA1893"/>
    <w:rsid w:val="00AA6661"/>
    <w:rsid w:val="00AA75A6"/>
    <w:rsid w:val="00AB07B7"/>
    <w:rsid w:val="00AB1B1D"/>
    <w:rsid w:val="00AC6969"/>
    <w:rsid w:val="00AD5B46"/>
    <w:rsid w:val="00AD6447"/>
    <w:rsid w:val="00AF4DED"/>
    <w:rsid w:val="00B024CA"/>
    <w:rsid w:val="00B03642"/>
    <w:rsid w:val="00B17D91"/>
    <w:rsid w:val="00B32026"/>
    <w:rsid w:val="00B32095"/>
    <w:rsid w:val="00B36BFB"/>
    <w:rsid w:val="00B37E2F"/>
    <w:rsid w:val="00B42093"/>
    <w:rsid w:val="00B52009"/>
    <w:rsid w:val="00B522C4"/>
    <w:rsid w:val="00B53AED"/>
    <w:rsid w:val="00B57C70"/>
    <w:rsid w:val="00B61311"/>
    <w:rsid w:val="00B61410"/>
    <w:rsid w:val="00B72534"/>
    <w:rsid w:val="00B73A1D"/>
    <w:rsid w:val="00B7505F"/>
    <w:rsid w:val="00B75A79"/>
    <w:rsid w:val="00B765A5"/>
    <w:rsid w:val="00BA0B16"/>
    <w:rsid w:val="00BA3738"/>
    <w:rsid w:val="00BA5A62"/>
    <w:rsid w:val="00BB1CED"/>
    <w:rsid w:val="00BB6C37"/>
    <w:rsid w:val="00BB7194"/>
    <w:rsid w:val="00BB726C"/>
    <w:rsid w:val="00BC04EA"/>
    <w:rsid w:val="00BD2969"/>
    <w:rsid w:val="00BE1B5B"/>
    <w:rsid w:val="00BE5B03"/>
    <w:rsid w:val="00BF0972"/>
    <w:rsid w:val="00BF2504"/>
    <w:rsid w:val="00C0059C"/>
    <w:rsid w:val="00C018AE"/>
    <w:rsid w:val="00C01A5A"/>
    <w:rsid w:val="00C01A76"/>
    <w:rsid w:val="00C02FD2"/>
    <w:rsid w:val="00C040F3"/>
    <w:rsid w:val="00C046E5"/>
    <w:rsid w:val="00C06C01"/>
    <w:rsid w:val="00C10396"/>
    <w:rsid w:val="00C13873"/>
    <w:rsid w:val="00C22632"/>
    <w:rsid w:val="00C24CA6"/>
    <w:rsid w:val="00C30C9D"/>
    <w:rsid w:val="00C32173"/>
    <w:rsid w:val="00C42E08"/>
    <w:rsid w:val="00C431EA"/>
    <w:rsid w:val="00C5331D"/>
    <w:rsid w:val="00C53F1B"/>
    <w:rsid w:val="00C7308D"/>
    <w:rsid w:val="00C77895"/>
    <w:rsid w:val="00C84764"/>
    <w:rsid w:val="00C87786"/>
    <w:rsid w:val="00C90A95"/>
    <w:rsid w:val="00CA1156"/>
    <w:rsid w:val="00CA1A11"/>
    <w:rsid w:val="00CC00B4"/>
    <w:rsid w:val="00CC1A5F"/>
    <w:rsid w:val="00CC7066"/>
    <w:rsid w:val="00CD1DF2"/>
    <w:rsid w:val="00CD312A"/>
    <w:rsid w:val="00CD343A"/>
    <w:rsid w:val="00CD4115"/>
    <w:rsid w:val="00CD5F35"/>
    <w:rsid w:val="00CE5014"/>
    <w:rsid w:val="00CF1470"/>
    <w:rsid w:val="00CF2926"/>
    <w:rsid w:val="00CF7E4D"/>
    <w:rsid w:val="00D019F0"/>
    <w:rsid w:val="00D20653"/>
    <w:rsid w:val="00D233B1"/>
    <w:rsid w:val="00D336A2"/>
    <w:rsid w:val="00D33DB4"/>
    <w:rsid w:val="00D34038"/>
    <w:rsid w:val="00D36BFA"/>
    <w:rsid w:val="00D41936"/>
    <w:rsid w:val="00D44355"/>
    <w:rsid w:val="00D446F7"/>
    <w:rsid w:val="00D46E48"/>
    <w:rsid w:val="00D508A8"/>
    <w:rsid w:val="00D55A6C"/>
    <w:rsid w:val="00D5660F"/>
    <w:rsid w:val="00D611A7"/>
    <w:rsid w:val="00D611EE"/>
    <w:rsid w:val="00D63A65"/>
    <w:rsid w:val="00D66106"/>
    <w:rsid w:val="00D666E5"/>
    <w:rsid w:val="00D70C87"/>
    <w:rsid w:val="00D73AB0"/>
    <w:rsid w:val="00D7452C"/>
    <w:rsid w:val="00D77D70"/>
    <w:rsid w:val="00D801A7"/>
    <w:rsid w:val="00D813F4"/>
    <w:rsid w:val="00D83CE6"/>
    <w:rsid w:val="00D842F6"/>
    <w:rsid w:val="00D85193"/>
    <w:rsid w:val="00D8594B"/>
    <w:rsid w:val="00DB32D9"/>
    <w:rsid w:val="00DC1637"/>
    <w:rsid w:val="00DC2AF9"/>
    <w:rsid w:val="00DC31D3"/>
    <w:rsid w:val="00DC3C54"/>
    <w:rsid w:val="00DC70D6"/>
    <w:rsid w:val="00DD5E73"/>
    <w:rsid w:val="00DD6317"/>
    <w:rsid w:val="00DD6365"/>
    <w:rsid w:val="00DE055C"/>
    <w:rsid w:val="00DE0DD4"/>
    <w:rsid w:val="00DE6A35"/>
    <w:rsid w:val="00DF29F7"/>
    <w:rsid w:val="00DF5359"/>
    <w:rsid w:val="00E01B0C"/>
    <w:rsid w:val="00E0282E"/>
    <w:rsid w:val="00E0581F"/>
    <w:rsid w:val="00E076A6"/>
    <w:rsid w:val="00E07D0F"/>
    <w:rsid w:val="00E13BC7"/>
    <w:rsid w:val="00E15B8F"/>
    <w:rsid w:val="00E20E52"/>
    <w:rsid w:val="00E2549D"/>
    <w:rsid w:val="00E27234"/>
    <w:rsid w:val="00E30BCC"/>
    <w:rsid w:val="00E408CF"/>
    <w:rsid w:val="00E41B3C"/>
    <w:rsid w:val="00E45C17"/>
    <w:rsid w:val="00E551C6"/>
    <w:rsid w:val="00E55732"/>
    <w:rsid w:val="00E56D2B"/>
    <w:rsid w:val="00E64930"/>
    <w:rsid w:val="00E65203"/>
    <w:rsid w:val="00E66824"/>
    <w:rsid w:val="00E67F18"/>
    <w:rsid w:val="00E7614C"/>
    <w:rsid w:val="00E82C14"/>
    <w:rsid w:val="00E82FF1"/>
    <w:rsid w:val="00E859BB"/>
    <w:rsid w:val="00E97682"/>
    <w:rsid w:val="00EA0F9E"/>
    <w:rsid w:val="00EA5CEE"/>
    <w:rsid w:val="00EB0E2F"/>
    <w:rsid w:val="00EB6FD3"/>
    <w:rsid w:val="00EF3091"/>
    <w:rsid w:val="00EF3B80"/>
    <w:rsid w:val="00F00B36"/>
    <w:rsid w:val="00F102C8"/>
    <w:rsid w:val="00F11844"/>
    <w:rsid w:val="00F11DD0"/>
    <w:rsid w:val="00F1339D"/>
    <w:rsid w:val="00F20C63"/>
    <w:rsid w:val="00F22C1B"/>
    <w:rsid w:val="00F238B9"/>
    <w:rsid w:val="00F25E54"/>
    <w:rsid w:val="00F26048"/>
    <w:rsid w:val="00F27BD0"/>
    <w:rsid w:val="00F314A9"/>
    <w:rsid w:val="00F373AF"/>
    <w:rsid w:val="00F43B46"/>
    <w:rsid w:val="00F518E4"/>
    <w:rsid w:val="00F576D0"/>
    <w:rsid w:val="00F62AF5"/>
    <w:rsid w:val="00F72882"/>
    <w:rsid w:val="00F74F9C"/>
    <w:rsid w:val="00F762B3"/>
    <w:rsid w:val="00F76C78"/>
    <w:rsid w:val="00F76D02"/>
    <w:rsid w:val="00F776A6"/>
    <w:rsid w:val="00F81375"/>
    <w:rsid w:val="00F84076"/>
    <w:rsid w:val="00F93453"/>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pmonline.org/article/S0749-3797(15)00050-1/fulltext" TargetMode="External"/><Relationship Id="rId13" Type="http://schemas.openxmlformats.org/officeDocument/2006/relationships/hyperlink" Target="https://www.cbc.ca/news/canada/saskatoon/wetlands-provide-learning-experience-for-saskatoon-elementary-school-1.6481964" TargetMode="External"/><Relationship Id="rId18" Type="http://schemas.openxmlformats.org/officeDocument/2006/relationships/hyperlink" Target="https://cdnsciencepub.com/doi/full/10.1139/apnm-2022-005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econversation.com/profiles/jane-e-sanders-1318473" TargetMode="External"/><Relationship Id="rId12" Type="http://schemas.openxmlformats.org/officeDocument/2006/relationships/hyperlink" Target="https://theconversation.com/how-adversity-impacts-the-disproportionate-suspensions-of-black-and-indigenous-students-177676?utm_medium=email&amp;utm_campaign=Latest%20from%20The%20Conversation%20for%20March%2023%202022&amp;utm_content=Latest%20from%20The%20Conversation%20for%20March%2023%202022+CID_1b365d6a3c5b153b52e7784c5d513717&amp;utm_source=campaign_monitor_ca&amp;utm_term=disproportionate%20suspensions%20of%20Black%20and%20Indigenous%20students" TargetMode="External"/><Relationship Id="rId17" Type="http://schemas.openxmlformats.org/officeDocument/2006/relationships/hyperlink" Target="https://cdnsciencepub.com/doi/full/10.1139/apnm-2022-0053" TargetMode="External"/><Relationship Id="rId2" Type="http://schemas.openxmlformats.org/officeDocument/2006/relationships/styles" Target="styles.xml"/><Relationship Id="rId16" Type="http://schemas.openxmlformats.org/officeDocument/2006/relationships/hyperlink" Target="https://cdnsciencepub.com/doi/full/10.1139/apnm-2022-0053" TargetMode="External"/><Relationship Id="rId20" Type="http://schemas.openxmlformats.org/officeDocument/2006/relationships/hyperlink" Target="https://youthdatingviolence.prevnet.ca/learn-more/youth/" TargetMode="External"/><Relationship Id="rId1" Type="http://schemas.openxmlformats.org/officeDocument/2006/relationships/numbering" Target="numbering.xml"/><Relationship Id="rId6" Type="http://schemas.openxmlformats.org/officeDocument/2006/relationships/hyperlink" Target="https://www.csmonitor.com/USA/Education/2022/0629/Mental-health-Is-that-a-job-for-schools?utm_source=The+Hechinger+Report&amp;utm_campaign=313f9a783d-EMAIL_CAMPAIGN_2022_06_29_04_12&amp;utm_medium=email&amp;utm_term=0_d3ee4c3e04-313f9a783d-322605249" TargetMode="External"/><Relationship Id="rId11" Type="http://schemas.openxmlformats.org/officeDocument/2006/relationships/hyperlink" Target="https://doi.org/10.1016/S0749-3797(98)00017-8" TargetMode="External"/><Relationship Id="rId5" Type="http://schemas.openxmlformats.org/officeDocument/2006/relationships/hyperlink" Target="https://www.aei.org/about/" TargetMode="External"/><Relationship Id="rId15" Type="http://schemas.openxmlformats.org/officeDocument/2006/relationships/hyperlink" Target="https://cdnsciencepub.com/doi/full/10.1139/apnm-2022-0053" TargetMode="External"/><Relationship Id="rId10" Type="http://schemas.openxmlformats.org/officeDocument/2006/relationships/hyperlink" Target="https://doi.org/10.1016/j.chiabu.2020.104522" TargetMode="External"/><Relationship Id="rId19" Type="http://schemas.openxmlformats.org/officeDocument/2006/relationships/hyperlink" Target="https://cdnsciencepub.com/doi/full/10.1139/apnm-2022-0053" TargetMode="External"/><Relationship Id="rId4" Type="http://schemas.openxmlformats.org/officeDocument/2006/relationships/webSettings" Target="webSettings.xml"/><Relationship Id="rId9" Type="http://schemas.openxmlformats.org/officeDocument/2006/relationships/hyperlink" Target="https://doi.org/10.1016/j.chiabu.2015.07.011" TargetMode="External"/><Relationship Id="rId14" Type="http://schemas.openxmlformats.org/officeDocument/2006/relationships/hyperlink" Target="https://www2.gov.bc.ca/gov/content/education-training/k-12/teach/resources-for-teachers/curriculum/languages-template/indigenous-languag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2022-07-13T19:02:00Z</dcterms:created>
  <dcterms:modified xsi:type="dcterms:W3CDTF">2022-08-11T17:47:00Z</dcterms:modified>
</cp:coreProperties>
</file>